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D7C34C" w14:textId="77777777" w:rsidR="00CE090B" w:rsidRPr="00FD7F4A" w:rsidRDefault="00CE090B" w:rsidP="00CE090B">
      <w:pPr>
        <w:rPr>
          <w:rFonts w:ascii="Times New Roman" w:hAnsi="Times New Roman"/>
          <w:b/>
          <w:i/>
          <w:caps/>
          <w:szCs w:val="24"/>
        </w:rPr>
      </w:pPr>
    </w:p>
    <w:p w14:paraId="5B6C1DE3" w14:textId="77777777" w:rsidR="00CE090B" w:rsidRPr="00FD7F4A" w:rsidRDefault="00CE090B" w:rsidP="00CE090B">
      <w:pPr>
        <w:jc w:val="center"/>
        <w:rPr>
          <w:rFonts w:ascii="Times New Roman" w:hAnsi="Times New Roman"/>
          <w:b/>
          <w:i/>
          <w:caps/>
          <w:szCs w:val="24"/>
        </w:rPr>
      </w:pPr>
      <w:r w:rsidRPr="00FD7F4A">
        <w:rPr>
          <w:rFonts w:ascii="Times New Roman" w:hAnsi="Times New Roman"/>
          <w:b/>
          <w:i/>
          <w:caps/>
          <w:szCs w:val="24"/>
        </w:rPr>
        <w:t>Musical Terminology</w:t>
      </w:r>
    </w:p>
    <w:p w14:paraId="5DC38127" w14:textId="77777777" w:rsidR="00CE090B" w:rsidRPr="00FD7F4A" w:rsidRDefault="00CE090B" w:rsidP="00CE090B">
      <w:pPr>
        <w:rPr>
          <w:rFonts w:ascii="Times New Roman" w:hAnsi="Times New Roman"/>
          <w:b/>
          <w:caps/>
          <w:szCs w:val="24"/>
        </w:rPr>
      </w:pPr>
    </w:p>
    <w:p w14:paraId="303EA064" w14:textId="77777777" w:rsidR="00CE090B" w:rsidRPr="00FD7F4A" w:rsidRDefault="00CE090B">
      <w:pPr>
        <w:spacing w:line="360" w:lineRule="atLeast"/>
        <w:jc w:val="both"/>
        <w:rPr>
          <w:rFonts w:ascii="Times New Roman" w:hAnsi="Times New Roman"/>
          <w:szCs w:val="24"/>
        </w:rPr>
      </w:pPr>
      <w:r w:rsidRPr="00FD7F4A">
        <w:rPr>
          <w:rFonts w:ascii="Times New Roman" w:hAnsi="Times New Roman"/>
          <w:b/>
          <w:szCs w:val="24"/>
        </w:rPr>
        <w:t>Music</w:t>
      </w:r>
      <w:r w:rsidRPr="00FD7F4A">
        <w:rPr>
          <w:rFonts w:ascii="Times New Roman" w:hAnsi="Times New Roman"/>
          <w:szCs w:val="24"/>
        </w:rPr>
        <w:t xml:space="preserve"> is an aural art.  </w:t>
      </w:r>
    </w:p>
    <w:p w14:paraId="6D9BF364" w14:textId="77777777" w:rsidR="00CE090B" w:rsidRPr="00FD7F4A" w:rsidRDefault="00CE090B">
      <w:pPr>
        <w:spacing w:line="360" w:lineRule="atLeast"/>
        <w:jc w:val="both"/>
        <w:rPr>
          <w:rFonts w:ascii="Times New Roman" w:hAnsi="Times New Roman"/>
          <w:szCs w:val="24"/>
        </w:rPr>
      </w:pPr>
    </w:p>
    <w:p w14:paraId="12D54615" w14:textId="77777777" w:rsidR="00CE090B" w:rsidRPr="00FD7F4A" w:rsidRDefault="00CE090B">
      <w:pPr>
        <w:spacing w:line="360" w:lineRule="atLeast"/>
        <w:jc w:val="both"/>
        <w:rPr>
          <w:rFonts w:ascii="Times New Roman" w:hAnsi="Times New Roman"/>
          <w:szCs w:val="24"/>
        </w:rPr>
      </w:pPr>
      <w:r w:rsidRPr="00FD7F4A">
        <w:rPr>
          <w:rFonts w:ascii="Times New Roman" w:hAnsi="Times New Roman"/>
          <w:b/>
          <w:szCs w:val="24"/>
        </w:rPr>
        <w:t>Music theory</w:t>
      </w:r>
      <w:r w:rsidRPr="00FD7F4A">
        <w:rPr>
          <w:rFonts w:ascii="Times New Roman" w:hAnsi="Times New Roman"/>
          <w:szCs w:val="24"/>
        </w:rPr>
        <w:t xml:space="preserve"> is the study of music; it is the analysis and composition of music.  </w:t>
      </w:r>
    </w:p>
    <w:p w14:paraId="1AEE45C2" w14:textId="77777777" w:rsidR="00CE090B" w:rsidRPr="00FD7F4A" w:rsidRDefault="00CE090B">
      <w:pPr>
        <w:spacing w:line="360" w:lineRule="atLeast"/>
        <w:jc w:val="both"/>
        <w:rPr>
          <w:rFonts w:ascii="Times New Roman" w:hAnsi="Times New Roman"/>
          <w:szCs w:val="24"/>
        </w:rPr>
      </w:pPr>
    </w:p>
    <w:p w14:paraId="41F6EACF" w14:textId="72F0710D" w:rsidR="00CE090B" w:rsidRPr="00FD7F4A" w:rsidRDefault="00CE090B">
      <w:pPr>
        <w:spacing w:line="360" w:lineRule="atLeast"/>
        <w:jc w:val="both"/>
        <w:rPr>
          <w:rFonts w:ascii="Times New Roman" w:hAnsi="Times New Roman"/>
          <w:szCs w:val="24"/>
        </w:rPr>
      </w:pPr>
      <w:r w:rsidRPr="00FD7F4A">
        <w:rPr>
          <w:rFonts w:ascii="Times New Roman" w:hAnsi="Times New Roman"/>
          <w:szCs w:val="24"/>
        </w:rPr>
        <w:t xml:space="preserve">Other fields for the study of music include </w:t>
      </w:r>
      <w:r w:rsidRPr="00FD7F4A">
        <w:rPr>
          <w:rFonts w:ascii="Times New Roman" w:hAnsi="Times New Roman"/>
          <w:b/>
          <w:szCs w:val="24"/>
        </w:rPr>
        <w:t>Musicology</w:t>
      </w:r>
      <w:r w:rsidRPr="00FD7F4A">
        <w:rPr>
          <w:rFonts w:ascii="Times New Roman" w:hAnsi="Times New Roman"/>
          <w:szCs w:val="24"/>
        </w:rPr>
        <w:t xml:space="preserve"> -- the study of music, usually thought of as study of music history; and </w:t>
      </w:r>
      <w:r w:rsidRPr="00FD7F4A">
        <w:rPr>
          <w:rFonts w:ascii="Times New Roman" w:hAnsi="Times New Roman"/>
          <w:b/>
          <w:szCs w:val="24"/>
        </w:rPr>
        <w:t>ethnomusicology</w:t>
      </w:r>
      <w:r w:rsidRPr="00FD7F4A">
        <w:rPr>
          <w:rFonts w:ascii="Times New Roman" w:hAnsi="Times New Roman"/>
          <w:szCs w:val="24"/>
        </w:rPr>
        <w:t xml:space="preserve"> -- the study of ethnic (world) musics.</w:t>
      </w:r>
    </w:p>
    <w:p w14:paraId="389ADE0B" w14:textId="77777777" w:rsidR="00CE090B" w:rsidRPr="00FD7F4A" w:rsidRDefault="00CE090B">
      <w:pPr>
        <w:spacing w:line="360" w:lineRule="atLeast"/>
        <w:ind w:left="360"/>
        <w:jc w:val="both"/>
        <w:rPr>
          <w:rFonts w:ascii="Times New Roman" w:hAnsi="Times New Roman"/>
          <w:szCs w:val="24"/>
        </w:rPr>
      </w:pPr>
    </w:p>
    <w:p w14:paraId="2845137B" w14:textId="77777777" w:rsidR="00CE090B" w:rsidRPr="00FD7F4A" w:rsidRDefault="00CE090B">
      <w:pPr>
        <w:spacing w:line="360" w:lineRule="atLeast"/>
        <w:jc w:val="both"/>
        <w:rPr>
          <w:rFonts w:ascii="Times New Roman" w:hAnsi="Times New Roman"/>
          <w:szCs w:val="24"/>
        </w:rPr>
      </w:pPr>
      <w:r w:rsidRPr="00FD7F4A">
        <w:rPr>
          <w:rFonts w:ascii="Times New Roman" w:hAnsi="Times New Roman"/>
          <w:b/>
          <w:szCs w:val="24"/>
        </w:rPr>
        <w:t>Music comes from a sound source</w:t>
      </w:r>
      <w:r w:rsidRPr="00FD7F4A">
        <w:rPr>
          <w:rFonts w:ascii="Times New Roman" w:hAnsi="Times New Roman"/>
          <w:szCs w:val="24"/>
        </w:rPr>
        <w:t xml:space="preserve">, usually a vibrating object (e.g., column of air, a vibrating string or membrane).  The vibration produces </w:t>
      </w:r>
      <w:r w:rsidRPr="00FD7F4A">
        <w:rPr>
          <w:rFonts w:ascii="Times New Roman" w:hAnsi="Times New Roman"/>
          <w:b/>
          <w:szCs w:val="24"/>
        </w:rPr>
        <w:t>sound waves</w:t>
      </w:r>
      <w:r w:rsidRPr="00FD7F4A">
        <w:rPr>
          <w:rFonts w:ascii="Times New Roman" w:hAnsi="Times New Roman"/>
          <w:szCs w:val="24"/>
        </w:rPr>
        <w:t xml:space="preserve"> -- vibrational disturbances transmitting energy.  A single </w:t>
      </w:r>
      <w:r w:rsidRPr="00FD7F4A">
        <w:rPr>
          <w:rFonts w:ascii="Times New Roman" w:hAnsi="Times New Roman"/>
          <w:b/>
          <w:szCs w:val="24"/>
        </w:rPr>
        <w:t>cycle</w:t>
      </w:r>
      <w:r w:rsidRPr="00FD7F4A">
        <w:rPr>
          <w:rFonts w:ascii="Times New Roman" w:hAnsi="Times New Roman"/>
          <w:szCs w:val="24"/>
        </w:rPr>
        <w:t xml:space="preserve"> of a sound wave is shown below.</w:t>
      </w:r>
    </w:p>
    <w:p w14:paraId="7D091418" w14:textId="77777777" w:rsidR="00CE090B" w:rsidRPr="00FD7F4A" w:rsidRDefault="00CE090B">
      <w:pPr>
        <w:spacing w:line="360" w:lineRule="atLeast"/>
        <w:jc w:val="both"/>
        <w:rPr>
          <w:rFonts w:ascii="Times New Roman" w:hAnsi="Times New Roman"/>
          <w:szCs w:val="24"/>
        </w:rPr>
      </w:pPr>
    </w:p>
    <w:p w14:paraId="6054E8AF" w14:textId="77777777" w:rsidR="00CE090B" w:rsidRPr="00FD7F4A" w:rsidRDefault="00FD7F4A">
      <w:pPr>
        <w:spacing w:line="360" w:lineRule="atLeast"/>
        <w:jc w:val="center"/>
        <w:rPr>
          <w:rFonts w:ascii="Times New Roman" w:hAnsi="Times New Roman"/>
          <w:szCs w:val="24"/>
        </w:rPr>
      </w:pPr>
      <w:r w:rsidRPr="00FD7F4A">
        <w:rPr>
          <w:rFonts w:ascii="Times New Roman" w:hAnsi="Times New Roman"/>
          <w:noProof/>
          <w:szCs w:val="24"/>
        </w:rPr>
        <w:drawing>
          <wp:inline distT="0" distB="0" distL="0" distR="0" wp14:anchorId="1555D080" wp14:editId="182C8982">
            <wp:extent cx="2321560" cy="1788795"/>
            <wp:effectExtent l="0" t="0" r="0" b="0"/>
            <wp:docPr id="1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560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F671A" w14:textId="77777777" w:rsidR="00CE090B" w:rsidRPr="00FD7F4A" w:rsidRDefault="00CE090B">
      <w:pPr>
        <w:spacing w:line="360" w:lineRule="atLeast"/>
        <w:jc w:val="both"/>
        <w:rPr>
          <w:rFonts w:ascii="Times New Roman" w:hAnsi="Times New Roman"/>
          <w:szCs w:val="24"/>
        </w:rPr>
      </w:pPr>
    </w:p>
    <w:p w14:paraId="30D32F02" w14:textId="77777777" w:rsidR="00CE090B" w:rsidRPr="00FD7F4A" w:rsidRDefault="00CE090B">
      <w:pPr>
        <w:spacing w:line="360" w:lineRule="atLeast"/>
        <w:jc w:val="both"/>
        <w:rPr>
          <w:rFonts w:ascii="Times New Roman" w:hAnsi="Times New Roman"/>
          <w:szCs w:val="24"/>
        </w:rPr>
      </w:pPr>
    </w:p>
    <w:p w14:paraId="30BF1C0C" w14:textId="77777777" w:rsidR="00CE090B" w:rsidRPr="00FD7F4A" w:rsidRDefault="00CE090B">
      <w:pPr>
        <w:spacing w:line="360" w:lineRule="atLeast"/>
        <w:jc w:val="both"/>
        <w:rPr>
          <w:rFonts w:ascii="Times New Roman" w:hAnsi="Times New Roman"/>
          <w:szCs w:val="24"/>
        </w:rPr>
      </w:pPr>
      <w:r w:rsidRPr="00FD7F4A">
        <w:rPr>
          <w:rFonts w:ascii="Times New Roman" w:hAnsi="Times New Roman"/>
          <w:szCs w:val="24"/>
        </w:rPr>
        <w:t xml:space="preserve">The </w:t>
      </w:r>
      <w:r w:rsidRPr="00FD7F4A">
        <w:rPr>
          <w:rFonts w:ascii="Times New Roman" w:hAnsi="Times New Roman"/>
          <w:b/>
          <w:szCs w:val="24"/>
        </w:rPr>
        <w:t>amplitude</w:t>
      </w:r>
      <w:r w:rsidRPr="00FD7F4A">
        <w:rPr>
          <w:rFonts w:ascii="Times New Roman" w:hAnsi="Times New Roman"/>
          <w:szCs w:val="24"/>
        </w:rPr>
        <w:t xml:space="preserve"> is the height of wave and creates/affects the sound's </w:t>
      </w:r>
      <w:r w:rsidRPr="00FD7F4A">
        <w:rPr>
          <w:rFonts w:ascii="Times New Roman" w:hAnsi="Times New Roman"/>
          <w:b/>
          <w:szCs w:val="24"/>
        </w:rPr>
        <w:t>intensity</w:t>
      </w:r>
      <w:r w:rsidRPr="00FD7F4A">
        <w:rPr>
          <w:rFonts w:ascii="Times New Roman" w:hAnsi="Times New Roman"/>
          <w:szCs w:val="24"/>
        </w:rPr>
        <w:t xml:space="preserve"> -- the loudness/softness of the sound.  </w:t>
      </w:r>
    </w:p>
    <w:p w14:paraId="2EA3B44E" w14:textId="77777777" w:rsidR="00CE090B" w:rsidRPr="00FD7F4A" w:rsidRDefault="00CE090B">
      <w:pPr>
        <w:spacing w:line="360" w:lineRule="atLeast"/>
        <w:jc w:val="both"/>
        <w:rPr>
          <w:rFonts w:ascii="Times New Roman" w:hAnsi="Times New Roman"/>
          <w:szCs w:val="24"/>
        </w:rPr>
      </w:pPr>
    </w:p>
    <w:p w14:paraId="5948D3CD" w14:textId="77777777" w:rsidR="00CE090B" w:rsidRPr="00FD7F4A" w:rsidRDefault="00CE090B">
      <w:pPr>
        <w:spacing w:line="360" w:lineRule="atLeast"/>
        <w:jc w:val="both"/>
        <w:rPr>
          <w:rFonts w:ascii="Times New Roman" w:hAnsi="Times New Roman"/>
          <w:szCs w:val="24"/>
        </w:rPr>
      </w:pPr>
      <w:r w:rsidRPr="00FD7F4A">
        <w:rPr>
          <w:rFonts w:ascii="Times New Roman" w:hAnsi="Times New Roman"/>
          <w:szCs w:val="24"/>
        </w:rPr>
        <w:t xml:space="preserve">The </w:t>
      </w:r>
      <w:r w:rsidRPr="00FD7F4A">
        <w:rPr>
          <w:rFonts w:ascii="Times New Roman" w:hAnsi="Times New Roman"/>
          <w:b/>
          <w:szCs w:val="24"/>
        </w:rPr>
        <w:t>frequency</w:t>
      </w:r>
      <w:r w:rsidRPr="00FD7F4A">
        <w:rPr>
          <w:rFonts w:ascii="Times New Roman" w:hAnsi="Times New Roman"/>
          <w:szCs w:val="24"/>
        </w:rPr>
        <w:t xml:space="preserve"> of the wave -- the number of times it repeats per second -- affects the </w:t>
      </w:r>
      <w:r w:rsidRPr="00FD7F4A">
        <w:rPr>
          <w:rFonts w:ascii="Times New Roman" w:hAnsi="Times New Roman"/>
          <w:b/>
          <w:szCs w:val="24"/>
        </w:rPr>
        <w:t>pitch</w:t>
      </w:r>
      <w:r w:rsidRPr="00FD7F4A">
        <w:rPr>
          <w:rFonts w:ascii="Times New Roman" w:hAnsi="Times New Roman"/>
          <w:szCs w:val="24"/>
        </w:rPr>
        <w:t xml:space="preserve"> -- the highness or lowness of the sound.  The frequency is also referred to as the number of cycles per second (Hertz).  The A that we usually tune to in the orchestra  (the A above middle C) has a frequency of 440 cycles per second (A 440). Every octave doubles or halves the frequency (e.g., A220 is an octave lower and A880 is an octave higher).</w:t>
      </w:r>
    </w:p>
    <w:p w14:paraId="59F2338A" w14:textId="77777777" w:rsidR="00CE090B" w:rsidRPr="00FD7F4A" w:rsidRDefault="00CE090B">
      <w:pPr>
        <w:spacing w:line="360" w:lineRule="atLeast"/>
        <w:jc w:val="both"/>
        <w:rPr>
          <w:rFonts w:ascii="Times New Roman" w:hAnsi="Times New Roman"/>
          <w:szCs w:val="24"/>
          <w:u w:val="single"/>
        </w:rPr>
      </w:pPr>
    </w:p>
    <w:p w14:paraId="4FDFCBDB" w14:textId="77777777" w:rsidR="00FD7F4A" w:rsidRDefault="00FD7F4A">
      <w:pPr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br w:type="page"/>
      </w:r>
    </w:p>
    <w:p w14:paraId="3BB02DB1" w14:textId="6131D5B1" w:rsidR="00CE090B" w:rsidRPr="00FD7F4A" w:rsidRDefault="00CE090B">
      <w:pPr>
        <w:spacing w:line="360" w:lineRule="atLeast"/>
        <w:jc w:val="both"/>
        <w:rPr>
          <w:rFonts w:ascii="Times New Roman" w:hAnsi="Times New Roman"/>
          <w:szCs w:val="24"/>
        </w:rPr>
      </w:pPr>
      <w:r w:rsidRPr="00FD7F4A">
        <w:rPr>
          <w:rFonts w:ascii="Times New Roman" w:hAnsi="Times New Roman"/>
          <w:szCs w:val="24"/>
        </w:rPr>
        <w:lastRenderedPageBreak/>
        <w:t xml:space="preserve">The wave shown above is a </w:t>
      </w:r>
      <w:r w:rsidRPr="00FD7F4A">
        <w:rPr>
          <w:rFonts w:ascii="Times New Roman" w:hAnsi="Times New Roman"/>
          <w:b/>
          <w:szCs w:val="24"/>
        </w:rPr>
        <w:t>sine wave</w:t>
      </w:r>
      <w:r w:rsidRPr="00FD7F4A">
        <w:rPr>
          <w:rFonts w:ascii="Times New Roman" w:hAnsi="Times New Roman"/>
          <w:szCs w:val="24"/>
        </w:rPr>
        <w:t xml:space="preserve"> and will produce a </w:t>
      </w:r>
      <w:r w:rsidRPr="00FD7F4A">
        <w:rPr>
          <w:rFonts w:ascii="Times New Roman" w:hAnsi="Times New Roman"/>
          <w:b/>
          <w:szCs w:val="24"/>
        </w:rPr>
        <w:t>pure sound</w:t>
      </w:r>
      <w:r w:rsidRPr="00FD7F4A">
        <w:rPr>
          <w:rFonts w:ascii="Times New Roman" w:hAnsi="Times New Roman"/>
          <w:szCs w:val="24"/>
        </w:rPr>
        <w:t xml:space="preserve">.  Sine waves are only produced by electronic instruments and tuning forks; most instruments do not produce pure sounds.  Instruments produce sounds that are combinations of many sine waves, each having a different frequency and therefore a different pitch.  </w:t>
      </w:r>
    </w:p>
    <w:p w14:paraId="70D5C31A" w14:textId="77777777" w:rsidR="00CE090B" w:rsidRPr="00FD7F4A" w:rsidRDefault="00CE090B">
      <w:pPr>
        <w:spacing w:line="360" w:lineRule="atLeast"/>
        <w:jc w:val="both"/>
        <w:rPr>
          <w:rFonts w:ascii="Times New Roman" w:hAnsi="Times New Roman"/>
          <w:szCs w:val="24"/>
        </w:rPr>
      </w:pPr>
    </w:p>
    <w:p w14:paraId="53AABA8C" w14:textId="77777777" w:rsidR="00CE090B" w:rsidRPr="00FD7F4A" w:rsidRDefault="00CE090B">
      <w:pPr>
        <w:spacing w:line="360" w:lineRule="atLeast"/>
        <w:jc w:val="both"/>
        <w:rPr>
          <w:rFonts w:ascii="Times New Roman" w:hAnsi="Times New Roman"/>
          <w:szCs w:val="24"/>
        </w:rPr>
      </w:pPr>
      <w:r w:rsidRPr="00FD7F4A">
        <w:rPr>
          <w:rFonts w:ascii="Times New Roman" w:hAnsi="Times New Roman"/>
          <w:szCs w:val="24"/>
        </w:rPr>
        <w:t xml:space="preserve">The combination is different for each instrument, so each instrument has a different tone color, or </w:t>
      </w:r>
      <w:r w:rsidRPr="00FD7F4A">
        <w:rPr>
          <w:rFonts w:ascii="Times New Roman" w:hAnsi="Times New Roman"/>
          <w:b/>
          <w:szCs w:val="24"/>
        </w:rPr>
        <w:t>timbre</w:t>
      </w:r>
      <w:r w:rsidRPr="00FD7F4A">
        <w:rPr>
          <w:rFonts w:ascii="Times New Roman" w:hAnsi="Times New Roman"/>
          <w:szCs w:val="24"/>
        </w:rPr>
        <w:t xml:space="preserve">.  The pitches that can be produced are the members of a tone's </w:t>
      </w:r>
      <w:r w:rsidRPr="00FD7F4A">
        <w:rPr>
          <w:rFonts w:ascii="Times New Roman" w:hAnsi="Times New Roman"/>
          <w:b/>
          <w:szCs w:val="24"/>
        </w:rPr>
        <w:t>harmonic series</w:t>
      </w:r>
      <w:r w:rsidRPr="00FD7F4A">
        <w:rPr>
          <w:rFonts w:ascii="Times New Roman" w:hAnsi="Times New Roman"/>
          <w:szCs w:val="24"/>
        </w:rPr>
        <w:t>.  The harmonic series on C is shown below:</w:t>
      </w:r>
    </w:p>
    <w:p w14:paraId="57C381AC" w14:textId="77777777" w:rsidR="00CE090B" w:rsidRPr="00FD7F4A" w:rsidRDefault="00CE090B">
      <w:pPr>
        <w:spacing w:line="360" w:lineRule="atLeast"/>
        <w:jc w:val="both"/>
        <w:rPr>
          <w:rFonts w:ascii="Times New Roman" w:hAnsi="Times New Roman"/>
          <w:szCs w:val="24"/>
        </w:rPr>
      </w:pPr>
    </w:p>
    <w:p w14:paraId="02528425" w14:textId="77777777" w:rsidR="00CE090B" w:rsidRPr="00FD7F4A" w:rsidRDefault="00CE090B">
      <w:pPr>
        <w:ind w:left="720" w:hanging="360"/>
        <w:jc w:val="both"/>
        <w:rPr>
          <w:rFonts w:ascii="Times New Roman" w:hAnsi="Times New Roman"/>
          <w:szCs w:val="24"/>
        </w:rPr>
      </w:pPr>
    </w:p>
    <w:p w14:paraId="32A43F0F" w14:textId="77777777" w:rsidR="00CE090B" w:rsidRPr="00FD7F4A" w:rsidRDefault="00FD7F4A">
      <w:pPr>
        <w:ind w:left="720" w:hanging="360"/>
        <w:jc w:val="both"/>
        <w:rPr>
          <w:rFonts w:ascii="Times New Roman" w:hAnsi="Times New Roman"/>
          <w:szCs w:val="24"/>
        </w:rPr>
      </w:pPr>
      <w:r w:rsidRPr="00FD7F4A">
        <w:rPr>
          <w:rFonts w:ascii="Times New Roman" w:hAnsi="Times New Roman"/>
          <w:noProof/>
          <w:szCs w:val="24"/>
        </w:rPr>
        <w:drawing>
          <wp:inline distT="0" distB="0" distL="0" distR="0" wp14:anchorId="7FA3ECE1" wp14:editId="4EC37DD5">
            <wp:extent cx="5375275" cy="1566545"/>
            <wp:effectExtent l="0" t="0" r="0" b="0"/>
            <wp:docPr id="2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275" cy="15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3DE18" w14:textId="77777777" w:rsidR="00CE090B" w:rsidRPr="00FD7F4A" w:rsidRDefault="00CE090B">
      <w:pPr>
        <w:ind w:left="720" w:hanging="360"/>
        <w:jc w:val="both"/>
        <w:rPr>
          <w:rFonts w:ascii="Times New Roman" w:hAnsi="Times New Roman"/>
          <w:szCs w:val="24"/>
        </w:rPr>
      </w:pPr>
    </w:p>
    <w:p w14:paraId="2F3C1FAD" w14:textId="77777777" w:rsidR="00CE090B" w:rsidRPr="00FD7F4A" w:rsidRDefault="00CE090B">
      <w:pPr>
        <w:ind w:left="360" w:hanging="360"/>
        <w:jc w:val="both"/>
        <w:rPr>
          <w:rFonts w:ascii="Times New Roman" w:hAnsi="Times New Roman"/>
          <w:szCs w:val="24"/>
        </w:rPr>
      </w:pPr>
      <w:r w:rsidRPr="00FD7F4A">
        <w:rPr>
          <w:rFonts w:ascii="Times New Roman" w:hAnsi="Times New Roman"/>
          <w:szCs w:val="24"/>
        </w:rPr>
        <w:t>[Notes shown with black note-heads will be out of tune.]</w:t>
      </w:r>
    </w:p>
    <w:p w14:paraId="30980B56" w14:textId="77777777" w:rsidR="00CE090B" w:rsidRPr="00FD7F4A" w:rsidRDefault="00CE090B">
      <w:pPr>
        <w:ind w:left="360" w:hanging="360"/>
        <w:jc w:val="both"/>
        <w:rPr>
          <w:rFonts w:ascii="Times New Roman" w:hAnsi="Times New Roman"/>
          <w:szCs w:val="24"/>
        </w:rPr>
      </w:pPr>
    </w:p>
    <w:p w14:paraId="53F7B3C3" w14:textId="77777777" w:rsidR="00CE090B" w:rsidRPr="00FD7F4A" w:rsidRDefault="00CE090B">
      <w:pPr>
        <w:spacing w:line="360" w:lineRule="atLeast"/>
        <w:ind w:left="360"/>
        <w:jc w:val="both"/>
        <w:rPr>
          <w:rFonts w:ascii="Times New Roman" w:hAnsi="Times New Roman"/>
          <w:szCs w:val="24"/>
        </w:rPr>
      </w:pPr>
    </w:p>
    <w:p w14:paraId="60B831A7" w14:textId="77777777" w:rsidR="00CE090B" w:rsidRPr="00FD7F4A" w:rsidRDefault="00CE090B">
      <w:pPr>
        <w:spacing w:line="360" w:lineRule="atLeast"/>
        <w:jc w:val="both"/>
        <w:rPr>
          <w:rFonts w:ascii="Times New Roman" w:hAnsi="Times New Roman"/>
          <w:szCs w:val="24"/>
        </w:rPr>
      </w:pPr>
      <w:r w:rsidRPr="00FD7F4A">
        <w:rPr>
          <w:rFonts w:ascii="Times New Roman" w:hAnsi="Times New Roman"/>
          <w:szCs w:val="24"/>
        </w:rPr>
        <w:t xml:space="preserve">A pitch also has an </w:t>
      </w:r>
      <w:r w:rsidRPr="00FD7F4A">
        <w:rPr>
          <w:rFonts w:ascii="Times New Roman" w:hAnsi="Times New Roman"/>
          <w:b/>
          <w:szCs w:val="24"/>
        </w:rPr>
        <w:t>envelope</w:t>
      </w:r>
      <w:r w:rsidRPr="00FD7F4A">
        <w:rPr>
          <w:rFonts w:ascii="Times New Roman" w:hAnsi="Times New Roman"/>
          <w:szCs w:val="24"/>
        </w:rPr>
        <w:t xml:space="preserve">.  The envelope consists of the note's attack, sustain and decay.  </w:t>
      </w:r>
    </w:p>
    <w:sectPr w:rsidR="00CE090B" w:rsidRPr="00FD7F4A" w:rsidSect="00FD7F4A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2240" w:h="15840"/>
      <w:pgMar w:top="1440" w:right="1440" w:bottom="1440" w:left="1440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E62FCAC" w14:textId="77777777" w:rsidR="000A3302" w:rsidRDefault="000A3302">
      <w:r>
        <w:separator/>
      </w:r>
    </w:p>
  </w:endnote>
  <w:endnote w:type="continuationSeparator" w:id="0">
    <w:p w14:paraId="49B06649" w14:textId="77777777" w:rsidR="000A3302" w:rsidRDefault="000A33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ew York">
    <w:altName w:val="Times New Roman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altName w:val="Times New Roman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97E4E1" w14:textId="77777777" w:rsidR="00097E3D" w:rsidRDefault="00097E3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BBED10" w14:textId="13F00739" w:rsidR="00FD7F4A" w:rsidRPr="00D64C39" w:rsidRDefault="00D64C39" w:rsidP="00D64C39">
    <w:pPr>
      <w:pStyle w:val="Footer"/>
      <w:jc w:val="center"/>
      <w:rPr>
        <w:color w:val="7030A0"/>
        <w:sz w:val="20"/>
      </w:rPr>
    </w:pPr>
    <w:r w:rsidRPr="00D64C39">
      <w:rPr>
        <w:color w:val="7030A0"/>
        <w:sz w:val="20"/>
      </w:rPr>
      <w:t xml:space="preserve">Barbara Murphy, 2025 </w:t>
    </w:r>
    <w:r>
      <w:rPr>
        <w:color w:val="7030A0"/>
        <w:sz w:val="20"/>
      </w:rPr>
      <w:t>-</w:t>
    </w:r>
    <w:r w:rsidRPr="00D64C39">
      <w:rPr>
        <w:color w:val="7030A0"/>
        <w:sz w:val="20"/>
      </w:rPr>
      <w:t xml:space="preserve"> https://musictheorymaterials.com/</w:t>
    </w:r>
  </w:p>
  <w:p w14:paraId="42EF0D35" w14:textId="77777777" w:rsidR="00D64C39" w:rsidRPr="00D64C39" w:rsidRDefault="00D64C39" w:rsidP="00FD7F4A">
    <w:pPr>
      <w:pStyle w:val="Footer"/>
      <w:jc w:val="center"/>
      <w:rPr>
        <w:color w:val="7030A0"/>
        <w:sz w:val="20"/>
      </w:rPr>
    </w:pPr>
    <w:r w:rsidRPr="00D64C39">
      <w:rPr>
        <w:color w:val="7030A0"/>
        <w:sz w:val="20"/>
      </w:rPr>
      <w:t xml:space="preserve">This work is licensed under a </w:t>
    </w:r>
  </w:p>
  <w:p w14:paraId="15CC72B9" w14:textId="2A833FAF" w:rsidR="00D64C39" w:rsidRPr="00D64C39" w:rsidRDefault="00D64C39" w:rsidP="00FD7F4A">
    <w:pPr>
      <w:pStyle w:val="Footer"/>
      <w:jc w:val="center"/>
      <w:rPr>
        <w:color w:val="7030A0"/>
        <w:sz w:val="20"/>
      </w:rPr>
    </w:pPr>
    <w:r w:rsidRPr="00D64C39">
      <w:rPr>
        <w:color w:val="7030A0"/>
        <w:sz w:val="20"/>
      </w:rPr>
      <w:t>Creative Commons Attribution-Non-Commercial-</w:t>
    </w:r>
    <w:proofErr w:type="spellStart"/>
    <w:r w:rsidRPr="00D64C39">
      <w:rPr>
        <w:color w:val="7030A0"/>
        <w:sz w:val="20"/>
      </w:rPr>
      <w:t>Sharealike</w:t>
    </w:r>
    <w:proofErr w:type="spellEnd"/>
    <w:r w:rsidRPr="00D64C39">
      <w:rPr>
        <w:color w:val="7030A0"/>
        <w:sz w:val="20"/>
      </w:rPr>
      <w:t xml:space="preserve"> 4.0</w:t>
    </w:r>
  </w:p>
  <w:p w14:paraId="57E04439" w14:textId="7A51DA1D" w:rsidR="00D64C39" w:rsidRPr="00D64C39" w:rsidRDefault="00D64C39" w:rsidP="00FD7F4A">
    <w:pPr>
      <w:pStyle w:val="Footer"/>
      <w:jc w:val="center"/>
      <w:rPr>
        <w:color w:val="7030A0"/>
        <w:sz w:val="20"/>
      </w:rPr>
    </w:pPr>
    <w:r w:rsidRPr="00D64C39">
      <w:rPr>
        <w:color w:val="7030A0"/>
        <w:sz w:val="20"/>
      </w:rPr>
      <w:t>International License</w:t>
    </w:r>
    <w:r>
      <w:rPr>
        <w:color w:val="7030A0"/>
        <w:sz w:val="20"/>
      </w:rP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3C4740" w14:textId="77777777" w:rsidR="00FD7F4A" w:rsidRDefault="00FD7F4A">
    <w:pPr>
      <w:pStyle w:val="Footer"/>
    </w:pPr>
  </w:p>
  <w:p w14:paraId="1A357B50" w14:textId="240F47A5" w:rsidR="00FD7F4A" w:rsidRDefault="00FD7F4A">
    <w:pPr>
      <w:pStyle w:val="Footer"/>
    </w:pPr>
    <w:r>
      <w:rPr>
        <w:noProof/>
      </w:rPr>
      <w:drawing>
        <wp:inline distT="0" distB="0" distL="0" distR="0" wp14:anchorId="62A92FFD" wp14:editId="5B95FCC7">
          <wp:extent cx="5486400" cy="544830"/>
          <wp:effectExtent l="0" t="0" r="0" b="127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Logo-runner-CC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486400" cy="54483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11D7E3" w14:textId="77777777" w:rsidR="000A3302" w:rsidRDefault="000A3302">
      <w:r>
        <w:separator/>
      </w:r>
    </w:p>
  </w:footnote>
  <w:footnote w:type="continuationSeparator" w:id="0">
    <w:p w14:paraId="1ED0FC13" w14:textId="77777777" w:rsidR="000A3302" w:rsidRDefault="000A330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233892054"/>
      <w:docPartObj>
        <w:docPartGallery w:val="Page Numbers (Top of Page)"/>
        <w:docPartUnique/>
      </w:docPartObj>
    </w:sdtPr>
    <w:sdtContent>
      <w:p w14:paraId="2D5F4AEF" w14:textId="6377D375" w:rsidR="00FD7F4A" w:rsidRDefault="00FD7F4A" w:rsidP="0089566C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750EBE3C" w14:textId="77777777" w:rsidR="00FD7F4A" w:rsidRDefault="00FD7F4A" w:rsidP="00FD7F4A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744410582"/>
      <w:docPartObj>
        <w:docPartGallery w:val="Page Numbers (Top of Page)"/>
        <w:docPartUnique/>
      </w:docPartObj>
    </w:sdtPr>
    <w:sdtContent>
      <w:p w14:paraId="611B4E2B" w14:textId="0AEA2B37" w:rsidR="00FD7F4A" w:rsidRDefault="00FD7F4A" w:rsidP="0089566C">
        <w:pPr>
          <w:pStyle w:val="Header"/>
          <w:framePr w:wrap="none" w:vAnchor="text" w:hAnchor="margin" w:xAlign="right" w:y="1"/>
          <w:rPr>
            <w:rStyle w:val="PageNumber"/>
          </w:rPr>
        </w:pPr>
        <w:r w:rsidRPr="00FD7F4A">
          <w:rPr>
            <w:rStyle w:val="PageNumber"/>
            <w:rFonts w:ascii="Times New Roman" w:hAnsi="Times New Roman"/>
            <w:sz w:val="22"/>
            <w:szCs w:val="22"/>
          </w:rPr>
          <w:fldChar w:fldCharType="begin"/>
        </w:r>
        <w:r w:rsidRPr="00FD7F4A">
          <w:rPr>
            <w:rStyle w:val="PageNumber"/>
            <w:rFonts w:ascii="Times New Roman" w:hAnsi="Times New Roman"/>
            <w:sz w:val="22"/>
            <w:szCs w:val="22"/>
          </w:rPr>
          <w:instrText xml:space="preserve"> PAGE </w:instrText>
        </w:r>
        <w:r w:rsidRPr="00FD7F4A">
          <w:rPr>
            <w:rStyle w:val="PageNumber"/>
            <w:rFonts w:ascii="Times New Roman" w:hAnsi="Times New Roman"/>
            <w:sz w:val="22"/>
            <w:szCs w:val="22"/>
          </w:rPr>
          <w:fldChar w:fldCharType="separate"/>
        </w:r>
        <w:r w:rsidRPr="00FD7F4A">
          <w:rPr>
            <w:rStyle w:val="PageNumber"/>
            <w:rFonts w:ascii="Times New Roman" w:hAnsi="Times New Roman"/>
            <w:noProof/>
            <w:sz w:val="22"/>
            <w:szCs w:val="22"/>
          </w:rPr>
          <w:t>1</w:t>
        </w:r>
        <w:r w:rsidRPr="00FD7F4A">
          <w:rPr>
            <w:rStyle w:val="PageNumber"/>
            <w:rFonts w:ascii="Times New Roman" w:hAnsi="Times New Roman"/>
            <w:sz w:val="22"/>
            <w:szCs w:val="22"/>
          </w:rPr>
          <w:fldChar w:fldCharType="end"/>
        </w:r>
      </w:p>
    </w:sdtContent>
  </w:sdt>
  <w:p w14:paraId="5F325DE7" w14:textId="044C5767" w:rsidR="00CE090B" w:rsidRDefault="00CE090B" w:rsidP="00FD7F4A">
    <w:pPr>
      <w:pStyle w:val="Header"/>
      <w:ind w:right="360"/>
      <w:rPr>
        <w:rFonts w:ascii="Times" w:hAnsi="Times"/>
        <w:i/>
        <w:u w:val="single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1108161686"/>
      <w:docPartObj>
        <w:docPartGallery w:val="Page Numbers (Top of Page)"/>
        <w:docPartUnique/>
      </w:docPartObj>
    </w:sdtPr>
    <w:sdtEndPr>
      <w:rPr>
        <w:rStyle w:val="PageNumber"/>
        <w:rFonts w:ascii="Times New Roman" w:hAnsi="Times New Roman"/>
      </w:rPr>
    </w:sdtEndPr>
    <w:sdtContent>
      <w:p w14:paraId="7AB27BA7" w14:textId="458FFDF7" w:rsidR="00FD7F4A" w:rsidRDefault="00FD7F4A" w:rsidP="0089566C">
        <w:pPr>
          <w:pStyle w:val="Header"/>
          <w:framePr w:wrap="none" w:vAnchor="text" w:hAnchor="margin" w:xAlign="right" w:y="1"/>
          <w:rPr>
            <w:rStyle w:val="PageNumber"/>
          </w:rPr>
        </w:pPr>
        <w:r w:rsidRPr="00FD7F4A">
          <w:rPr>
            <w:rStyle w:val="PageNumber"/>
            <w:sz w:val="22"/>
            <w:szCs w:val="22"/>
          </w:rPr>
          <w:fldChar w:fldCharType="begin"/>
        </w:r>
        <w:r w:rsidRPr="00FD7F4A">
          <w:rPr>
            <w:rStyle w:val="PageNumber"/>
            <w:sz w:val="22"/>
            <w:szCs w:val="22"/>
          </w:rPr>
          <w:instrText xml:space="preserve"> PAGE </w:instrText>
        </w:r>
        <w:r w:rsidRPr="00FD7F4A">
          <w:rPr>
            <w:rStyle w:val="PageNumber"/>
            <w:sz w:val="22"/>
            <w:szCs w:val="22"/>
          </w:rPr>
          <w:fldChar w:fldCharType="separate"/>
        </w:r>
        <w:r w:rsidRPr="00FD7F4A">
          <w:rPr>
            <w:rStyle w:val="PageNumber"/>
            <w:noProof/>
            <w:sz w:val="22"/>
            <w:szCs w:val="22"/>
          </w:rPr>
          <w:t>1</w:t>
        </w:r>
        <w:r w:rsidRPr="00FD7F4A">
          <w:rPr>
            <w:rStyle w:val="PageNumber"/>
            <w:sz w:val="22"/>
            <w:szCs w:val="22"/>
          </w:rPr>
          <w:fldChar w:fldCharType="end"/>
        </w:r>
      </w:p>
    </w:sdtContent>
  </w:sdt>
  <w:p w14:paraId="68C0B14F" w14:textId="77777777" w:rsidR="00FD7F4A" w:rsidRDefault="00FD7F4A" w:rsidP="00FD7F4A">
    <w:pPr>
      <w:pStyle w:val="Header"/>
      <w:ind w:right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5"/>
  <w:embedSystemFonts/>
  <w:bordersDoNotSurroundHeader/>
  <w:bordersDoNotSurroundFooter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hyphenationZone w:val="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2C18"/>
    <w:rsid w:val="00097E3D"/>
    <w:rsid w:val="000A3302"/>
    <w:rsid w:val="008D6EFC"/>
    <w:rsid w:val="00A31227"/>
    <w:rsid w:val="00CA2136"/>
    <w:rsid w:val="00CA2C18"/>
    <w:rsid w:val="00CE090B"/>
    <w:rsid w:val="00D14ADC"/>
    <w:rsid w:val="00D64C39"/>
    <w:rsid w:val="00EE0DEB"/>
    <w:rsid w:val="00FD7F4A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5B02070"/>
  <w15:chartTrackingRefBased/>
  <w15:docId w15:val="{6EBD00E6-48C1-3F4C-976B-BEDB33BE03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New York" w:eastAsia="Times New Roman" w:hAnsi="New York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rsid w:val="001E259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1E259C"/>
    <w:rPr>
      <w:sz w:val="24"/>
    </w:rPr>
  </w:style>
  <w:style w:type="character" w:styleId="PageNumber">
    <w:name w:val="page number"/>
    <w:basedOn w:val="DefaultParagraphFont"/>
    <w:uiPriority w:val="99"/>
    <w:semiHidden/>
    <w:unhideWhenUsed/>
    <w:rsid w:val="00FD7F4A"/>
  </w:style>
  <w:style w:type="paragraph" w:styleId="BalloonText">
    <w:name w:val="Balloon Text"/>
    <w:basedOn w:val="Normal"/>
    <w:link w:val="BalloonTextChar"/>
    <w:uiPriority w:val="99"/>
    <w:semiHidden/>
    <w:unhideWhenUsed/>
    <w:rsid w:val="00097E3D"/>
    <w:rPr>
      <w:rFonts w:ascii="Times New Roman" w:hAnsi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97E3D"/>
    <w:rPr>
      <w:rFonts w:ascii="Times New Roman" w:hAnsi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</Pages>
  <Words>275</Words>
  <Characters>1573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UTK School of Music</Company>
  <LinksUpToDate>false</LinksUpToDate>
  <CharactersWithSpaces>1845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Murphy, Barbara A</dc:creator>
  <cp:keywords/>
  <cp:lastModifiedBy>Murphy, Barbara</cp:lastModifiedBy>
  <cp:revision>5</cp:revision>
  <cp:lastPrinted>2018-09-04T16:09:00Z</cp:lastPrinted>
  <dcterms:created xsi:type="dcterms:W3CDTF">2018-09-04T16:09:00Z</dcterms:created>
  <dcterms:modified xsi:type="dcterms:W3CDTF">2025-05-31T01:20:00Z</dcterms:modified>
</cp:coreProperties>
</file>